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color w:val="2021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highlight w:val="white"/>
          <w:rtl w:val="0"/>
        </w:rPr>
        <w:t xml:space="preserve">Disruptive Mood Dysregulation Disorder (DMDD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highlight w:val="white"/>
          <w:rtl w:val="0"/>
        </w:rPr>
        <w:t xml:space="preserve">). </w:t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Times New Roman" w:cs="Times New Roman" w:eastAsia="Times New Roman" w:hAnsi="Times New Roman"/>
          <w:color w:val="2021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5"/>
        <w:gridCol w:w="3005"/>
        <w:gridCol w:w="3005"/>
        <w:tblGridChange w:id="0">
          <w:tblGrid>
            <w:gridCol w:w="3005"/>
            <w:gridCol w:w="3005"/>
            <w:gridCol w:w="30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  <w:rtl w:val="0"/>
              </w:rPr>
              <w:t xml:space="preserve">I can help myself by…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  <w:rtl w:val="0"/>
              </w:rPr>
              <w:t xml:space="preserve">I can help others by.. 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  <w:rtl w:val="0"/>
              </w:rPr>
              <w:t xml:space="preserve">Professionals to contact 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Being aware of triggers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Noticing the physical reaction to the triggers (eg: clinging of fist, teeth, restlessness, fidgety..etc)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Using a calm and low tone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Psychologist 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Pausing and thinking of ways to divert your attention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Helping them to identify their triggers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Psychiatrist 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Counting  backward numbers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Noticing and reinforcing positive behaviour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practicing the Dragon breathing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Validating their feelings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Using your 5 senses to identify objects around you.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Setting boundaries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